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0BE" w:rsidRPr="00A66782" w:rsidRDefault="002B60BE" w:rsidP="002B60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6782">
        <w:rPr>
          <w:rFonts w:ascii="Times New Roman" w:hAnsi="Times New Roman" w:cs="Times New Roman"/>
          <w:b/>
          <w:sz w:val="28"/>
          <w:szCs w:val="28"/>
          <w:lang w:val="ru-RU"/>
        </w:rPr>
        <w:t>Аннотация</w:t>
      </w:r>
    </w:p>
    <w:p w:rsidR="002B60BE" w:rsidRDefault="002B60BE" w:rsidP="002B60B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A6678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 рабочей программе </w:t>
      </w:r>
      <w:r w:rsidR="009048A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начального </w:t>
      </w:r>
      <w:r w:rsidRPr="00A6678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общего образования учебного предмета «</w:t>
      </w:r>
      <w:r w:rsidR="0095189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Математика</w:t>
      </w:r>
      <w:r w:rsidRPr="00A6678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»</w:t>
      </w:r>
    </w:p>
    <w:p w:rsidR="00392196" w:rsidRDefault="00392196" w:rsidP="002B60B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95189C" w:rsidRDefault="0095189C" w:rsidP="0095189C">
      <w:pPr>
        <w:spacing w:after="0" w:line="264" w:lineRule="auto"/>
        <w:ind w:firstLine="600"/>
        <w:jc w:val="both"/>
        <w:rPr>
          <w:lang w:val="ru-RU"/>
        </w:rPr>
      </w:pPr>
      <w:r>
        <w:rPr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95189C" w:rsidRDefault="0095189C" w:rsidP="00951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95189C" w:rsidRDefault="0095189C" w:rsidP="00951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95189C" w:rsidRDefault="0095189C" w:rsidP="0095189C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 xml:space="preserve"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</w:t>
      </w:r>
      <w:r>
        <w:rPr>
          <w:rFonts w:ascii="Calibri" w:hAnsi="Calibri"/>
          <w:color w:val="000000"/>
          <w:sz w:val="28"/>
          <w:lang w:val="ru-RU"/>
        </w:rPr>
        <w:t xml:space="preserve">– </w:t>
      </w:r>
      <w:r>
        <w:rPr>
          <w:rFonts w:ascii="Times New Roman" w:hAnsi="Times New Roman"/>
          <w:color w:val="000000"/>
          <w:sz w:val="28"/>
          <w:lang w:val="ru-RU"/>
        </w:rPr>
        <w:t>целое», «больше</w:t>
      </w:r>
      <w:r>
        <w:rPr>
          <w:rFonts w:ascii="Times New Roman" w:hAnsi="Times New Roman"/>
          <w:color w:val="333333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  <w:lang w:val="ru-RU"/>
        </w:rPr>
        <w:t>меньше», «равно</w:t>
      </w:r>
      <w:r>
        <w:rPr>
          <w:rFonts w:ascii="Times New Roman" w:hAnsi="Times New Roman"/>
          <w:color w:val="333333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  <w:lang w:val="ru-RU"/>
        </w:rPr>
        <w:t>неравно», «порядок»), смысла арифметических действий, зависимостей (работа, движение, продолжительность события);</w:t>
      </w:r>
      <w:proofErr w:type="gramEnd"/>
    </w:p>
    <w:p w:rsidR="0095189C" w:rsidRDefault="0095189C" w:rsidP="0095189C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  <w:proofErr w:type="gramEnd"/>
    </w:p>
    <w:p w:rsidR="0095189C" w:rsidRDefault="0095189C" w:rsidP="00951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95189C" w:rsidRDefault="0095189C" w:rsidP="00951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действий и умений, которые могут быть достигнуты на этом этапе обучения.</w:t>
      </w:r>
    </w:p>
    <w:p w:rsidR="00FC2BE2" w:rsidRPr="00094217" w:rsidRDefault="0095189C" w:rsidP="0095189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‌На изучение математики отводится 540 часов: в 1 классе – 132 часа (4 часа в неделю), во 2 классе – 136 часов (4 часа в неделю), в 3 классе – 136 часов (4 часа в неделю), в 4 классе – 136 часов (4 часа в неделю)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bookmarkStart w:id="0" w:name="_GoBack"/>
      <w:bookmarkEnd w:id="0"/>
    </w:p>
    <w:p w:rsidR="009048A9" w:rsidRPr="002B60BE" w:rsidRDefault="009048A9">
      <w:pPr>
        <w:spacing w:after="0" w:line="240" w:lineRule="auto"/>
        <w:ind w:firstLine="600"/>
        <w:jc w:val="both"/>
        <w:rPr>
          <w:lang w:val="ru-RU"/>
        </w:rPr>
      </w:pPr>
    </w:p>
    <w:sectPr w:rsidR="009048A9" w:rsidRPr="002B60BE" w:rsidSect="00620DC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555EE"/>
    <w:multiLevelType w:val="multilevel"/>
    <w:tmpl w:val="87B0D1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0BE"/>
    <w:rsid w:val="00094217"/>
    <w:rsid w:val="002B60BE"/>
    <w:rsid w:val="00392196"/>
    <w:rsid w:val="00405999"/>
    <w:rsid w:val="00620DC3"/>
    <w:rsid w:val="009048A9"/>
    <w:rsid w:val="0095189C"/>
    <w:rsid w:val="00FC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0B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2196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0B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219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1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2023-12-18T13:40:00Z</dcterms:created>
  <dcterms:modified xsi:type="dcterms:W3CDTF">2023-12-18T15:25:00Z</dcterms:modified>
</cp:coreProperties>
</file>